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114300" distT="114300" distL="114300" distR="114300">
            <wp:extent cx="1828800" cy="67665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766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Roboto Serif" w:cs="Roboto Serif" w:eastAsia="Roboto Serif" w:hAnsi="Roboto Serif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Roboto Serif" w:cs="Roboto Serif" w:eastAsia="Roboto Serif" w:hAnsi="Roboto Serif"/>
          <w:b w:val="1"/>
          <w:sz w:val="24"/>
          <w:szCs w:val="24"/>
          <w:rtl w:val="0"/>
        </w:rPr>
        <w:t xml:space="preserve">Continuous Program Improvement (CPI)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Roboto Serif" w:cs="Roboto Serif" w:eastAsia="Roboto Serif" w:hAnsi="Roboto Serif"/>
          <w:b w:val="1"/>
          <w:color w:val="000000"/>
          <w:sz w:val="24"/>
          <w:szCs w:val="24"/>
        </w:rPr>
      </w:pPr>
      <w:bookmarkStart w:colFirst="0" w:colLast="0" w:name="_9kfxxdk23gk" w:id="2"/>
      <w:bookmarkEnd w:id="2"/>
      <w:r w:rsidDel="00000000" w:rsidR="00000000" w:rsidRPr="00000000">
        <w:rPr>
          <w:rFonts w:ascii="Roboto Serif" w:cs="Roboto Serif" w:eastAsia="Roboto Serif" w:hAnsi="Roboto Serif"/>
          <w:b w:val="1"/>
          <w:sz w:val="24"/>
          <w:szCs w:val="24"/>
          <w:rtl w:val="0"/>
        </w:rPr>
        <w:t xml:space="preserve">Student </w:t>
      </w:r>
      <w:r w:rsidDel="00000000" w:rsidR="00000000" w:rsidRPr="00000000">
        <w:rPr>
          <w:rFonts w:ascii="Roboto Serif" w:cs="Roboto Serif" w:eastAsia="Roboto Serif" w:hAnsi="Roboto Serif"/>
          <w:b w:val="1"/>
          <w:color w:val="000000"/>
          <w:sz w:val="24"/>
          <w:szCs w:val="24"/>
          <w:rtl w:val="0"/>
        </w:rPr>
        <w:t xml:space="preserve">Learning Outcomes (SLO)/Program Learning Out</w:t>
      </w:r>
      <w:r w:rsidDel="00000000" w:rsidR="00000000" w:rsidRPr="00000000">
        <w:rPr>
          <w:rFonts w:ascii="Roboto Serif" w:cs="Roboto Serif" w:eastAsia="Roboto Serif" w:hAnsi="Roboto Serif"/>
          <w:b w:val="1"/>
          <w:sz w:val="24"/>
          <w:szCs w:val="24"/>
          <w:rtl w:val="0"/>
        </w:rPr>
        <w:t xml:space="preserve">comes (P</w:t>
      </w:r>
      <w:r w:rsidDel="00000000" w:rsidR="00000000" w:rsidRPr="00000000">
        <w:rPr>
          <w:rFonts w:ascii="Roboto Serif" w:cs="Roboto Serif" w:eastAsia="Roboto Serif" w:hAnsi="Roboto Serif"/>
          <w:b w:val="1"/>
          <w:color w:val="000000"/>
          <w:sz w:val="24"/>
          <w:szCs w:val="24"/>
          <w:rtl w:val="0"/>
        </w:rPr>
        <w:t xml:space="preserve">LO)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bhkassmm4p8d" w:id="3"/>
      <w:bookmarkEnd w:id="3"/>
      <w:r w:rsidDel="00000000" w:rsidR="00000000" w:rsidRPr="00000000">
        <w:rPr>
          <w:rFonts w:ascii="Roboto Serif" w:cs="Roboto Serif" w:eastAsia="Roboto Serif" w:hAnsi="Roboto Serif"/>
          <w:b w:val="1"/>
          <w:sz w:val="24"/>
          <w:szCs w:val="24"/>
          <w:rtl w:val="0"/>
        </w:rPr>
        <w:t xml:space="preserve">Three Year P</w:t>
      </w:r>
      <w:r w:rsidDel="00000000" w:rsidR="00000000" w:rsidRPr="00000000">
        <w:rPr>
          <w:rFonts w:ascii="Roboto Serif" w:cs="Roboto Serif" w:eastAsia="Roboto Serif" w:hAnsi="Roboto Serif"/>
          <w:b w:val="1"/>
          <w:color w:val="000000"/>
          <w:sz w:val="24"/>
          <w:szCs w:val="24"/>
          <w:rtl w:val="0"/>
        </w:rPr>
        <w:t xml:space="preserve">lan</w:t>
      </w:r>
      <w:r w:rsidDel="00000000" w:rsidR="00000000" w:rsidRPr="00000000">
        <w:rPr>
          <w:rFonts w:ascii="Roboto Serif" w:cs="Roboto Serif" w:eastAsia="Roboto Serif" w:hAnsi="Roboto Serif"/>
          <w:b w:val="1"/>
          <w:sz w:val="24"/>
          <w:szCs w:val="24"/>
          <w:rtl w:val="0"/>
        </w:rPr>
        <w:t xml:space="preserve"> - 2022-2025</w:t>
      </w: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0"/>
        <w:gridCol w:w="8910"/>
        <w:tblGridChange w:id="0">
          <w:tblGrid>
            <w:gridCol w:w="4050"/>
            <w:gridCol w:w="89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Program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Expected date of submission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Department chair/program 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Dean’s 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 Middle States Commission on Higher Education (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MSCHE) Standard V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Educational Effectiveness 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Assessment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states: “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Assessment of student learning and achievement demonstrates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that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the institution’s students have accomplished educational goals consistent with their program of study, degree level, the institution’s mission, and appropriate expectations for institutions of higher education.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To ensure that New York Tech’s CPI process meets this standard,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each department is requested to create a three-year assessment/evaluation plan to improve student learning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highlight w:val="white"/>
          <w:rtl w:val="0"/>
        </w:rPr>
        <w:t xml:space="preserve"> for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sz w:val="24"/>
          <w:szCs w:val="24"/>
          <w:highlight w:val="white"/>
          <w:rtl w:val="0"/>
        </w:rPr>
        <w:t xml:space="preserve">each of their degree programs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 plan should cover the following academic years: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2022-2023, 2023-2024, and 2024-2025.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Each Program Learning Outcomes (PLO) CPI plan should include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State/update each degree program’s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learning outcomes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based on the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Program Assessment Guidelines and Best Practices.</w:t>
        </w:r>
      </w:hyperlink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The original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Program Learning Outcome Assessment Plans and Reports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are available here: </w:t>
      </w:r>
      <w:hyperlink r:id="rId8">
        <w:r w:rsidDel="00000000" w:rsidR="00000000" w:rsidRPr="00000000">
          <w:rPr>
            <w:rFonts w:ascii="Roboto" w:cs="Roboto" w:eastAsia="Roboto" w:hAnsi="Roboto"/>
            <w:color w:val="0563c1"/>
            <w:sz w:val="24"/>
            <w:szCs w:val="24"/>
            <w:u w:val="single"/>
            <w:rtl w:val="0"/>
          </w:rPr>
          <w:t xml:space="preserve">http://www.nyit.edu/planning/academic_assessment_plans_reports</w:t>
        </w:r>
      </w:hyperlink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rovide/update the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matrix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of program learning outcomes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that indicates which learning outcomes are assessed in which courses. The original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matri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ces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are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available here: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http://www.nyit.edu/planning/academic_assessment_plans_reports</w:t>
        </w:r>
      </w:hyperlink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Describe the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method of assessment and measurement instruments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(e.g., rubric, exam items, scoring guide for a particular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ask, supervisor evaluation form, and standardized assessment tool). Note: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irect evidence of student learning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required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; b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oth direct and indirect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evidence are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strongly recommended.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sz w:val="24"/>
          <w:szCs w:val="24"/>
          <w:rtl w:val="0"/>
        </w:rPr>
        <w:t xml:space="preserve">Direct </w:t>
      </w:r>
      <w:r w:rsidDel="00000000" w:rsidR="00000000" w:rsidRPr="00000000">
        <w:rPr>
          <w:rFonts w:ascii="Roboto" w:cs="Roboto" w:eastAsia="Roboto" w:hAnsi="Roboto"/>
          <w:b w:val="1"/>
          <w:i w:val="1"/>
          <w:sz w:val="24"/>
          <w:szCs w:val="24"/>
          <w:rtl w:val="0"/>
        </w:rPr>
        <w:t xml:space="preserve">evidence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of student learning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 includes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but is not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 limited to: course assignments, portfolios, internship evaluations,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capstone course work, thes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s papers, research projects, standardized tests, etc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sz w:val="24"/>
          <w:szCs w:val="24"/>
          <w:rtl w:val="0"/>
        </w:rPr>
        <w:t xml:space="preserve">Indirect </w:t>
      </w:r>
      <w:r w:rsidDel="00000000" w:rsidR="00000000" w:rsidRPr="00000000">
        <w:rPr>
          <w:rFonts w:ascii="Roboto" w:cs="Roboto" w:eastAsia="Roboto" w:hAnsi="Roboto"/>
          <w:b w:val="1"/>
          <w:i w:val="1"/>
          <w:sz w:val="24"/>
          <w:szCs w:val="24"/>
          <w:rtl w:val="0"/>
        </w:rPr>
        <w:t xml:space="preserve">evidence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of student learning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 includes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but is not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 limited to: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tudent surveys, interviews, alumni surveys, employer surveys, focus groups, students’ reflections, etc.]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540" w:firstLine="62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imeline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of when each PLO will be assess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ed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; for example: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</w:rPr>
        <w:drawing>
          <wp:inline distB="0" distT="0" distL="0" distR="0">
            <wp:extent cx="5505450" cy="244884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8374" l="5256" r="6883" t="23788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4488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bookmarkStart w:colFirst="0" w:colLast="0" w:name="_3znysh7" w:id="4"/>
      <w:bookmarkEnd w:id="4"/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Faculty working as a team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is essential in program learning outcome assessment. Please provide a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rief description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how faculty are involved in the creation of this assessment plan and how the results will be communicated to all stakeholders.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2240" w:w="15840" w:orient="landscape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>
        <w:i w:val="1"/>
        <w:rtl w:val="0"/>
      </w:rPr>
      <w:t xml:space="preserve">Last updated October 2023     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1.png"/><Relationship Id="rId13" Type="http://schemas.openxmlformats.org/officeDocument/2006/relationships/footer" Target="foot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yit.edu/planning/academic_assessment_plans_reports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nyit.edu/planning/program_assessment_guidelines_best_practices/" TargetMode="External"/><Relationship Id="rId8" Type="http://schemas.openxmlformats.org/officeDocument/2006/relationships/hyperlink" Target="http://www.nyit.edu/planning/academic_assessment_plans_repor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erif-regular.ttf"/><Relationship Id="rId2" Type="http://schemas.openxmlformats.org/officeDocument/2006/relationships/font" Target="fonts/RobotoSerif-bold.ttf"/><Relationship Id="rId3" Type="http://schemas.openxmlformats.org/officeDocument/2006/relationships/font" Target="fonts/RobotoSerif-italic.ttf"/><Relationship Id="rId4" Type="http://schemas.openxmlformats.org/officeDocument/2006/relationships/font" Target="fonts/RobotoSerif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